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B4A0" w14:textId="77777777" w:rsidR="00E04C7F" w:rsidRPr="00493021" w:rsidRDefault="00E04C7F" w:rsidP="00E04C7F">
      <w:pPr>
        <w:pStyle w:val="BodyText"/>
        <w:spacing w:after="120" w:line="240" w:lineRule="auto"/>
        <w:jc w:val="left"/>
        <w:rPr>
          <w:sz w:val="28"/>
          <w:szCs w:val="28"/>
        </w:rPr>
      </w:pPr>
      <w:r w:rsidRPr="00493021">
        <w:rPr>
          <w:sz w:val="28"/>
          <w:szCs w:val="28"/>
        </w:rPr>
        <w:t xml:space="preserve">Quarterly Budget and Expenditure Reporting under </w:t>
      </w:r>
      <w:r>
        <w:rPr>
          <w:sz w:val="28"/>
          <w:szCs w:val="28"/>
        </w:rPr>
        <w:t>ARP</w:t>
      </w:r>
      <w:r w:rsidRPr="00493021">
        <w:rPr>
          <w:sz w:val="28"/>
          <w:szCs w:val="28"/>
        </w:rPr>
        <w:t xml:space="preserve"> </w:t>
      </w:r>
      <w:r>
        <w:rPr>
          <w:sz w:val="28"/>
          <w:szCs w:val="28"/>
        </w:rPr>
        <w:t xml:space="preserve">Act </w:t>
      </w:r>
    </w:p>
    <w:p w14:paraId="07CC392B" w14:textId="479C4EE6" w:rsidR="00E04C7F" w:rsidRPr="00AA1F33" w:rsidRDefault="00E04C7F" w:rsidP="00E04C7F">
      <w:pPr>
        <w:spacing w:after="120" w:line="240" w:lineRule="auto"/>
      </w:pPr>
      <w:r w:rsidRPr="5289DC8C">
        <w:rPr>
          <w:b/>
          <w:bCs/>
        </w:rPr>
        <w:t>Institution Name</w:t>
      </w:r>
      <w:r w:rsidRPr="5289DC8C">
        <w:t xml:space="preserve">: </w:t>
      </w:r>
      <w:r w:rsidR="009D3F5A">
        <w:t xml:space="preserve">  </w:t>
      </w:r>
      <w:r w:rsidRPr="009D3F5A">
        <w:rPr>
          <w:b/>
          <w:bCs/>
          <w:u w:val="single"/>
        </w:rPr>
        <w:t xml:space="preserve">Carroll </w:t>
      </w:r>
      <w:proofErr w:type="gramStart"/>
      <w:r w:rsidRPr="009D3F5A">
        <w:rPr>
          <w:b/>
          <w:bCs/>
          <w:u w:val="single"/>
        </w:rPr>
        <w:t>University</w:t>
      </w:r>
      <w:r w:rsidR="009D3F5A">
        <w:rPr>
          <w:b/>
          <w:bCs/>
        </w:rPr>
        <w:t xml:space="preserve">  </w:t>
      </w:r>
      <w:r w:rsidRPr="5289DC8C">
        <w:rPr>
          <w:b/>
          <w:bCs/>
        </w:rPr>
        <w:t>Date</w:t>
      </w:r>
      <w:proofErr w:type="gramEnd"/>
      <w:r w:rsidRPr="5289DC8C">
        <w:rPr>
          <w:b/>
          <w:bCs/>
        </w:rPr>
        <w:t xml:space="preserve"> of Report</w:t>
      </w:r>
      <w:r>
        <w:t xml:space="preserve">: </w:t>
      </w:r>
      <w:r w:rsidR="009D3F5A" w:rsidRPr="009D3F5A">
        <w:rPr>
          <w:u w:val="single"/>
        </w:rPr>
        <w:t>Jan 15, 2021</w:t>
      </w:r>
      <w:r w:rsidR="009D3F5A">
        <w:t xml:space="preserve">  </w:t>
      </w:r>
      <w:r w:rsidRPr="5289DC8C">
        <w:rPr>
          <w:b/>
          <w:bCs/>
        </w:rPr>
        <w:t xml:space="preserve">Covering Quarter Ending: </w:t>
      </w:r>
      <w:r>
        <w:t>__</w:t>
      </w:r>
      <w:r w:rsidR="009D3F5A">
        <w:rPr>
          <w:b/>
          <w:bCs/>
        </w:rPr>
        <w:t>12.31</w:t>
      </w:r>
      <w:r>
        <w:rPr>
          <w:b/>
          <w:bCs/>
        </w:rPr>
        <w:t>.2021</w:t>
      </w:r>
      <w:r>
        <w:t>___</w:t>
      </w:r>
    </w:p>
    <w:p w14:paraId="4E057937" w14:textId="77777777" w:rsidR="009D3F5A" w:rsidRDefault="00E04C7F" w:rsidP="00E04C7F">
      <w:pPr>
        <w:spacing w:after="240" w:line="240" w:lineRule="auto"/>
      </w:pPr>
      <w:r w:rsidRPr="00A20975">
        <w:rPr>
          <w:b/>
          <w:bCs/>
        </w:rPr>
        <w:t>Total Amount</w:t>
      </w:r>
      <w:r>
        <w:rPr>
          <w:b/>
          <w:bCs/>
        </w:rPr>
        <w:t xml:space="preserve"> of Funds </w:t>
      </w:r>
      <w:r w:rsidRPr="00A20975">
        <w:rPr>
          <w:b/>
          <w:bCs/>
        </w:rPr>
        <w:t>Awarded:</w:t>
      </w:r>
      <w:r w:rsidRPr="009B2233">
        <w:t xml:space="preserve"> </w:t>
      </w:r>
      <w:r>
        <w:t xml:space="preserve">ARP Section </w:t>
      </w:r>
      <w:r w:rsidRPr="009B2233">
        <w:t xml:space="preserve">(a)(1) </w:t>
      </w:r>
      <w:r>
        <w:t xml:space="preserve">student portion from PR: 425 E. </w:t>
      </w:r>
    </w:p>
    <w:p w14:paraId="40B9CE55" w14:textId="4308137D" w:rsidR="00E04C7F" w:rsidRPr="009D3F5A" w:rsidRDefault="00E04C7F" w:rsidP="00E04C7F">
      <w:pPr>
        <w:spacing w:after="240" w:line="240" w:lineRule="auto"/>
        <w:rPr>
          <w:b/>
          <w:bCs/>
        </w:rPr>
      </w:pPr>
      <w:r>
        <w:t>Total funds available</w:t>
      </w:r>
      <w:r w:rsidRPr="009B2233">
        <w:t xml:space="preserve">: </w:t>
      </w:r>
      <w:r w:rsidRPr="5289DC8C">
        <w:rPr>
          <w:b/>
          <w:bCs/>
        </w:rPr>
        <w:t>$</w:t>
      </w:r>
      <w:proofErr w:type="gramStart"/>
      <w:r>
        <w:rPr>
          <w:b/>
          <w:bCs/>
        </w:rPr>
        <w:t>3,107,145</w:t>
      </w:r>
      <w:r w:rsidR="009D3F5A">
        <w:rPr>
          <w:b/>
          <w:bCs/>
        </w:rPr>
        <w:t xml:space="preserve">  </w:t>
      </w:r>
      <w:r w:rsidR="009D3F5A" w:rsidRPr="009D3F5A">
        <w:t>Total</w:t>
      </w:r>
      <w:proofErr w:type="gramEnd"/>
      <w:r w:rsidR="009D3F5A" w:rsidRPr="009D3F5A">
        <w:t xml:space="preserve"> funds spent:</w:t>
      </w:r>
      <w:r w:rsidR="009D3F5A">
        <w:rPr>
          <w:b/>
          <w:bCs/>
        </w:rPr>
        <w:t xml:space="preserve"> </w:t>
      </w:r>
      <w:r w:rsidR="009D3F5A" w:rsidRPr="5289DC8C">
        <w:rPr>
          <w:b/>
          <w:bCs/>
        </w:rPr>
        <w:t>$</w:t>
      </w:r>
      <w:r w:rsidR="009D3F5A">
        <w:rPr>
          <w:b/>
          <w:bCs/>
        </w:rPr>
        <w:t xml:space="preserve">3,107,145  </w:t>
      </w:r>
    </w:p>
    <w:tbl>
      <w:tblPr>
        <w:tblStyle w:val="TableGrid"/>
        <w:tblW w:w="13675" w:type="dxa"/>
        <w:tblLayout w:type="fixed"/>
        <w:tblLook w:val="04A0" w:firstRow="1" w:lastRow="0" w:firstColumn="1" w:lastColumn="0" w:noHBand="0" w:noVBand="1"/>
      </w:tblPr>
      <w:tblGrid>
        <w:gridCol w:w="4675"/>
        <w:gridCol w:w="2160"/>
        <w:gridCol w:w="6840"/>
      </w:tblGrid>
      <w:tr w:rsidR="00E04C7F" w:rsidRPr="00B0429C" w14:paraId="74DF11B5" w14:textId="77777777" w:rsidTr="00E04C7F">
        <w:trPr>
          <w:trHeight w:val="350"/>
          <w:tblHeader/>
        </w:trPr>
        <w:tc>
          <w:tcPr>
            <w:tcW w:w="4675" w:type="dxa"/>
          </w:tcPr>
          <w:p w14:paraId="332D770F" w14:textId="77777777" w:rsidR="00E04C7F" w:rsidRPr="00422EC1" w:rsidRDefault="00E04C7F" w:rsidP="00042AF7">
            <w:pPr>
              <w:jc w:val="center"/>
              <w:rPr>
                <w:rFonts w:cstheme="minorHAnsi"/>
                <w:b/>
                <w:bCs/>
              </w:rPr>
            </w:pPr>
            <w:r w:rsidRPr="00422EC1">
              <w:rPr>
                <w:rFonts w:cstheme="minorHAnsi"/>
                <w:b/>
                <w:bCs/>
              </w:rPr>
              <w:t>Category</w:t>
            </w:r>
          </w:p>
        </w:tc>
        <w:tc>
          <w:tcPr>
            <w:tcW w:w="2160" w:type="dxa"/>
            <w:tcMar>
              <w:left w:w="14" w:type="dxa"/>
              <w:right w:w="14" w:type="dxa"/>
            </w:tcMar>
          </w:tcPr>
          <w:p w14:paraId="723D4EAA" w14:textId="77777777" w:rsidR="00E04C7F" w:rsidRPr="00422EC1" w:rsidRDefault="00E04C7F" w:rsidP="00042AF7">
            <w:pPr>
              <w:jc w:val="center"/>
              <w:rPr>
                <w:rFonts w:cstheme="minorHAnsi"/>
                <w:b/>
                <w:bCs/>
              </w:rPr>
            </w:pPr>
            <w:r w:rsidRPr="00422EC1">
              <w:rPr>
                <w:rFonts w:cstheme="minorHAnsi"/>
                <w:b/>
                <w:bCs/>
              </w:rPr>
              <w:t xml:space="preserve">Amount </w:t>
            </w:r>
          </w:p>
          <w:p w14:paraId="34FFD641" w14:textId="77777777" w:rsidR="00E04C7F" w:rsidRPr="00422EC1" w:rsidRDefault="00E04C7F" w:rsidP="00042AF7">
            <w:pPr>
              <w:jc w:val="center"/>
              <w:rPr>
                <w:rFonts w:cstheme="minorHAnsi"/>
                <w:b/>
                <w:bCs/>
              </w:rPr>
            </w:pPr>
            <w:r w:rsidRPr="00422EC1">
              <w:rPr>
                <w:rFonts w:cstheme="minorHAnsi"/>
                <w:b/>
                <w:bCs/>
              </w:rPr>
              <w:t xml:space="preserve">in (a)(1) </w:t>
            </w:r>
            <w:r>
              <w:rPr>
                <w:rFonts w:cstheme="minorHAnsi"/>
                <w:b/>
                <w:bCs/>
              </w:rPr>
              <w:t xml:space="preserve">student </w:t>
            </w:r>
            <w:r w:rsidRPr="00422EC1">
              <w:rPr>
                <w:rFonts w:cstheme="minorHAnsi"/>
                <w:b/>
                <w:bCs/>
              </w:rPr>
              <w:t>dollars</w:t>
            </w:r>
          </w:p>
        </w:tc>
        <w:tc>
          <w:tcPr>
            <w:tcW w:w="6840" w:type="dxa"/>
          </w:tcPr>
          <w:p w14:paraId="55CB5740" w14:textId="77777777" w:rsidR="00E04C7F" w:rsidRPr="00422EC1" w:rsidRDefault="00E04C7F" w:rsidP="00042AF7">
            <w:pPr>
              <w:jc w:val="center"/>
              <w:rPr>
                <w:rFonts w:cstheme="minorHAnsi"/>
                <w:b/>
                <w:bCs/>
              </w:rPr>
            </w:pPr>
            <w:r w:rsidRPr="00422EC1">
              <w:rPr>
                <w:rFonts w:cstheme="minorHAnsi"/>
                <w:b/>
                <w:bCs/>
              </w:rPr>
              <w:t>Explanatory Notes</w:t>
            </w:r>
          </w:p>
        </w:tc>
      </w:tr>
      <w:tr w:rsidR="00E04C7F" w:rsidRPr="00A236DF" w14:paraId="2550ED33" w14:textId="77777777" w:rsidTr="00E04C7F">
        <w:trPr>
          <w:trHeight w:val="403"/>
        </w:trPr>
        <w:tc>
          <w:tcPr>
            <w:tcW w:w="4675" w:type="dxa"/>
          </w:tcPr>
          <w:p w14:paraId="2CB73654" w14:textId="77777777" w:rsidR="00E04C7F" w:rsidRPr="0017254D" w:rsidRDefault="00E04C7F" w:rsidP="00042AF7">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Pr="0017254D">
              <w:rPr>
                <w:rStyle w:val="FootnoteReference"/>
                <w:sz w:val="21"/>
                <w:szCs w:val="21"/>
              </w:rPr>
              <w:footnoteReference w:id="1"/>
            </w:r>
            <w:r>
              <w:rPr>
                <w:rFonts w:cstheme="minorHAnsi"/>
                <w:sz w:val="21"/>
                <w:szCs w:val="21"/>
              </w:rPr>
              <w:t xml:space="preserve"> </w:t>
            </w:r>
          </w:p>
        </w:tc>
        <w:tc>
          <w:tcPr>
            <w:tcW w:w="2160" w:type="dxa"/>
            <w:shd w:val="clear" w:color="auto" w:fill="FFFFFF" w:themeFill="background1"/>
          </w:tcPr>
          <w:p w14:paraId="0BAC0BD0" w14:textId="52B2078F" w:rsidR="00E04C7F" w:rsidRPr="00DC6D23" w:rsidRDefault="00602BFA" w:rsidP="00042AF7">
            <w:pPr>
              <w:jc w:val="center"/>
              <w:rPr>
                <w:rFonts w:cstheme="minorHAnsi"/>
                <w:color w:val="FF0000"/>
                <w:sz w:val="21"/>
                <w:szCs w:val="21"/>
                <w:highlight w:val="black"/>
              </w:rPr>
            </w:pPr>
            <w:r w:rsidRPr="009D3F5A">
              <w:rPr>
                <w:rFonts w:cstheme="minorHAnsi"/>
                <w:sz w:val="21"/>
                <w:szCs w:val="21"/>
              </w:rPr>
              <w:t>$2,632,345</w:t>
            </w:r>
          </w:p>
        </w:tc>
        <w:tc>
          <w:tcPr>
            <w:tcW w:w="6840" w:type="dxa"/>
          </w:tcPr>
          <w:p w14:paraId="624DCF20" w14:textId="41DE5062" w:rsidR="00E04C7F" w:rsidRPr="009D3F5A" w:rsidRDefault="00E04C7F" w:rsidP="00E04C7F">
            <w:pPr>
              <w:pStyle w:val="PlainText"/>
              <w:rPr>
                <w:color w:val="auto"/>
              </w:rPr>
            </w:pPr>
            <w:r w:rsidRPr="009D3F5A">
              <w:rPr>
                <w:color w:val="auto"/>
              </w:rPr>
              <w:t>The total amount of Emergency Financial Aid Grants distributed to students in Q</w:t>
            </w:r>
            <w:r w:rsidR="009D3F5A" w:rsidRPr="009D3F5A">
              <w:rPr>
                <w:color w:val="auto"/>
              </w:rPr>
              <w:t>4</w:t>
            </w:r>
            <w:r w:rsidRPr="009D3F5A">
              <w:rPr>
                <w:color w:val="auto"/>
              </w:rPr>
              <w:t xml:space="preserve"> 21 under the ARP (a)(1) program: $</w:t>
            </w:r>
            <w:r w:rsidR="00602BFA" w:rsidRPr="009D3F5A">
              <w:rPr>
                <w:color w:val="auto"/>
              </w:rPr>
              <w:t>2,632,345</w:t>
            </w:r>
          </w:p>
          <w:p w14:paraId="5E0FF10A" w14:textId="77777777" w:rsidR="00E04C7F" w:rsidRPr="009D3F5A" w:rsidRDefault="00E04C7F" w:rsidP="00E04C7F">
            <w:pPr>
              <w:pStyle w:val="PlainText"/>
              <w:rPr>
                <w:color w:val="auto"/>
              </w:rPr>
            </w:pPr>
          </w:p>
          <w:p w14:paraId="249EF47C" w14:textId="65DF258E" w:rsidR="00E04C7F" w:rsidRPr="009D3F5A" w:rsidRDefault="00E04C7F" w:rsidP="00E04C7F">
            <w:pPr>
              <w:pStyle w:val="PlainText"/>
              <w:rPr>
                <w:color w:val="auto"/>
              </w:rPr>
            </w:pPr>
            <w:r w:rsidRPr="009D3F5A">
              <w:rPr>
                <w:color w:val="auto"/>
              </w:rPr>
              <w:t>The estimated total number of students at the institution that are eligible to receive Emergency Financial Aid Grants to Students in Q</w:t>
            </w:r>
            <w:r w:rsidR="009D3F5A">
              <w:rPr>
                <w:color w:val="auto"/>
              </w:rPr>
              <w:t>4</w:t>
            </w:r>
            <w:r w:rsidRPr="009D3F5A">
              <w:rPr>
                <w:color w:val="auto"/>
              </w:rPr>
              <w:t xml:space="preserve"> 21 under the ARP (a)(1) program:</w:t>
            </w:r>
          </w:p>
          <w:p w14:paraId="01160973" w14:textId="77777777" w:rsidR="00E04C7F" w:rsidRPr="009D3F5A" w:rsidRDefault="00E04C7F" w:rsidP="00E04C7F">
            <w:pPr>
              <w:pStyle w:val="PlainText"/>
              <w:rPr>
                <w:color w:val="auto"/>
              </w:rPr>
            </w:pPr>
            <w:r w:rsidRPr="009D3F5A">
              <w:rPr>
                <w:color w:val="auto"/>
              </w:rPr>
              <w:t>          3370</w:t>
            </w:r>
          </w:p>
          <w:p w14:paraId="4575306F" w14:textId="26FB7F9D" w:rsidR="00E04C7F" w:rsidRPr="009D3F5A" w:rsidRDefault="00E04C7F" w:rsidP="00E04C7F">
            <w:pPr>
              <w:pStyle w:val="PlainText"/>
              <w:rPr>
                <w:color w:val="auto"/>
              </w:rPr>
            </w:pPr>
            <w:r w:rsidRPr="009D3F5A">
              <w:rPr>
                <w:color w:val="auto"/>
              </w:rPr>
              <w:t>The total number of students who have received an Emergency Financial Aid Grant to students in Q</w:t>
            </w:r>
            <w:r w:rsidR="009D3F5A">
              <w:rPr>
                <w:color w:val="auto"/>
              </w:rPr>
              <w:t>4</w:t>
            </w:r>
            <w:r w:rsidRPr="009D3F5A">
              <w:rPr>
                <w:color w:val="auto"/>
              </w:rPr>
              <w:t xml:space="preserve"> 21 under the ARP (a)(1) program: </w:t>
            </w:r>
            <w:r w:rsidR="00602BFA" w:rsidRPr="009D3F5A">
              <w:rPr>
                <w:color w:val="auto"/>
              </w:rPr>
              <w:t>3015</w:t>
            </w:r>
          </w:p>
          <w:p w14:paraId="3BCFD9E2" w14:textId="77777777" w:rsidR="00E04C7F" w:rsidRPr="009D3F5A" w:rsidRDefault="00E04C7F" w:rsidP="00E04C7F">
            <w:pPr>
              <w:pStyle w:val="PlainText"/>
              <w:rPr>
                <w:color w:val="auto"/>
              </w:rPr>
            </w:pPr>
          </w:p>
          <w:p w14:paraId="2FE683F3" w14:textId="77777777" w:rsidR="00E04C7F" w:rsidRPr="009D3F5A" w:rsidRDefault="00E04C7F" w:rsidP="00E04C7F">
            <w:pPr>
              <w:pStyle w:val="PlainText"/>
              <w:rPr>
                <w:color w:val="auto"/>
              </w:rPr>
            </w:pPr>
            <w:r w:rsidRPr="009D3F5A">
              <w:rPr>
                <w:color w:val="auto"/>
              </w:rPr>
              <w:t xml:space="preserve">The method(s) used by the institution to determine which students receive Emergency Financial Aid Grants and how much they would receive in Q3 21 under the ARP (a)(1) </w:t>
            </w:r>
            <w:proofErr w:type="gramStart"/>
            <w:r w:rsidRPr="009D3F5A">
              <w:rPr>
                <w:color w:val="auto"/>
              </w:rPr>
              <w:t>program:.</w:t>
            </w:r>
            <w:proofErr w:type="gramEnd"/>
          </w:p>
          <w:p w14:paraId="3960DABE" w14:textId="77777777" w:rsidR="00E04C7F" w:rsidRPr="009D3F5A" w:rsidRDefault="00E04C7F" w:rsidP="00E04C7F">
            <w:pPr>
              <w:numPr>
                <w:ilvl w:val="0"/>
                <w:numId w:val="1"/>
              </w:numPr>
              <w:rPr>
                <w:rFonts w:ascii="Calibri" w:eastAsia="Times New Roman" w:hAnsi="Calibri" w:cs="Calibri"/>
              </w:rPr>
            </w:pPr>
            <w:r w:rsidRPr="009D3F5A">
              <w:rPr>
                <w:rFonts w:ascii="Calibri" w:eastAsia="Times New Roman" w:hAnsi="Calibri" w:cs="Calibri"/>
              </w:rPr>
              <w:t>Award funds the following Summer 21 students</w:t>
            </w:r>
          </w:p>
          <w:p w14:paraId="53B48037" w14:textId="77777777" w:rsidR="00E04C7F" w:rsidRPr="009D3F5A" w:rsidRDefault="00E04C7F" w:rsidP="00E04C7F">
            <w:pPr>
              <w:numPr>
                <w:ilvl w:val="1"/>
                <w:numId w:val="1"/>
              </w:numPr>
              <w:rPr>
                <w:rFonts w:ascii="Calibri" w:eastAsia="Times New Roman" w:hAnsi="Calibri" w:cs="Calibri"/>
              </w:rPr>
            </w:pPr>
            <w:r w:rsidRPr="009D3F5A">
              <w:rPr>
                <w:rFonts w:ascii="Calibri" w:eastAsia="Times New Roman" w:hAnsi="Calibri" w:cs="Calibri"/>
              </w:rPr>
              <w:t xml:space="preserve">FT </w:t>
            </w:r>
            <w:proofErr w:type="gramStart"/>
            <w:r w:rsidRPr="009D3F5A">
              <w:rPr>
                <w:rFonts w:ascii="Calibri" w:eastAsia="Times New Roman" w:hAnsi="Calibri" w:cs="Calibri"/>
              </w:rPr>
              <w:t>GRAD  or</w:t>
            </w:r>
            <w:proofErr w:type="gramEnd"/>
            <w:r w:rsidRPr="009D3F5A">
              <w:rPr>
                <w:rFonts w:ascii="Calibri" w:eastAsia="Times New Roman" w:hAnsi="Calibri" w:cs="Calibri"/>
              </w:rPr>
              <w:t xml:space="preserve"> GRAD students who are not enrolled in FA21 </w:t>
            </w:r>
          </w:p>
          <w:p w14:paraId="4EA7ABFA" w14:textId="77777777" w:rsidR="00E04C7F" w:rsidRPr="009D3F5A" w:rsidRDefault="00E04C7F" w:rsidP="00E04C7F">
            <w:pPr>
              <w:numPr>
                <w:ilvl w:val="1"/>
                <w:numId w:val="1"/>
              </w:numPr>
              <w:rPr>
                <w:rFonts w:ascii="Calibri" w:eastAsia="Times New Roman" w:hAnsi="Calibri" w:cs="Calibri"/>
              </w:rPr>
            </w:pPr>
            <w:r w:rsidRPr="009D3F5A">
              <w:rPr>
                <w:rFonts w:ascii="Calibri" w:eastAsia="Times New Roman" w:hAnsi="Calibri" w:cs="Calibri"/>
              </w:rPr>
              <w:t>UNDG students who are not enrolled in FA21</w:t>
            </w:r>
          </w:p>
          <w:p w14:paraId="117D622D" w14:textId="77777777" w:rsidR="00E04C7F" w:rsidRPr="009D3F5A" w:rsidRDefault="00E04C7F" w:rsidP="00E04C7F">
            <w:pPr>
              <w:numPr>
                <w:ilvl w:val="0"/>
                <w:numId w:val="1"/>
              </w:numPr>
              <w:rPr>
                <w:rFonts w:ascii="Calibri" w:eastAsia="Times New Roman" w:hAnsi="Calibri" w:cs="Calibri"/>
              </w:rPr>
            </w:pPr>
            <w:r w:rsidRPr="009D3F5A">
              <w:rPr>
                <w:rFonts w:ascii="Calibri" w:eastAsia="Times New Roman" w:hAnsi="Calibri" w:cs="Calibri"/>
              </w:rPr>
              <w:t xml:space="preserve">Award 5 different categories of amounts starting with those who are Pell eligible.  </w:t>
            </w:r>
          </w:p>
          <w:p w14:paraId="122C0F59" w14:textId="77777777" w:rsidR="00E04C7F" w:rsidRPr="009D3F5A" w:rsidRDefault="00E04C7F" w:rsidP="00E04C7F">
            <w:pPr>
              <w:numPr>
                <w:ilvl w:val="2"/>
                <w:numId w:val="1"/>
              </w:numPr>
              <w:rPr>
                <w:rFonts w:ascii="Calibri" w:eastAsia="Times New Roman" w:hAnsi="Calibri" w:cs="Calibri"/>
              </w:rPr>
            </w:pPr>
            <w:r w:rsidRPr="009D3F5A">
              <w:rPr>
                <w:rFonts w:ascii="Calibri" w:eastAsia="Times New Roman" w:hAnsi="Calibri" w:cs="Calibri"/>
              </w:rPr>
              <w:t xml:space="preserve">EFC Ranges and </w:t>
            </w:r>
            <w:r w:rsidRPr="009D3F5A">
              <w:rPr>
                <w:rFonts w:ascii="Calibri" w:eastAsia="Times New Roman" w:hAnsi="Calibri" w:cs="Calibri"/>
                <w:b/>
                <w:bCs/>
                <w:i/>
                <w:iCs/>
              </w:rPr>
              <w:t>approximate</w:t>
            </w:r>
            <w:r w:rsidRPr="009D3F5A">
              <w:rPr>
                <w:rFonts w:ascii="Calibri" w:eastAsia="Times New Roman" w:hAnsi="Calibri" w:cs="Calibri"/>
              </w:rPr>
              <w:t xml:space="preserve"> amounts</w:t>
            </w:r>
          </w:p>
          <w:p w14:paraId="3F55893F" w14:textId="6B96AD92" w:rsidR="00E04C7F" w:rsidRPr="009D3F5A" w:rsidRDefault="00E04C7F" w:rsidP="00E04C7F">
            <w:pPr>
              <w:numPr>
                <w:ilvl w:val="3"/>
                <w:numId w:val="1"/>
              </w:numPr>
              <w:rPr>
                <w:rFonts w:ascii="Calibri" w:eastAsia="Times New Roman" w:hAnsi="Calibri" w:cs="Calibri"/>
              </w:rPr>
            </w:pPr>
            <w:r w:rsidRPr="009D3F5A">
              <w:rPr>
                <w:rFonts w:ascii="Calibri" w:eastAsia="Times New Roman" w:hAnsi="Calibri" w:cs="Calibri"/>
              </w:rPr>
              <w:t>$0 - $5,4</w:t>
            </w:r>
            <w:r w:rsidR="00602BFA" w:rsidRPr="009D3F5A">
              <w:rPr>
                <w:rFonts w:ascii="Calibri" w:eastAsia="Times New Roman" w:hAnsi="Calibri" w:cs="Calibri"/>
              </w:rPr>
              <w:t>95</w:t>
            </w:r>
            <w:r w:rsidRPr="009D3F5A">
              <w:rPr>
                <w:rFonts w:ascii="Calibri" w:eastAsia="Times New Roman" w:hAnsi="Calibri" w:cs="Calibri"/>
              </w:rPr>
              <w:t>   </w:t>
            </w:r>
            <w:r w:rsidR="00602BFA" w:rsidRPr="009D3F5A">
              <w:rPr>
                <w:rFonts w:ascii="Calibri" w:eastAsia="Times New Roman" w:hAnsi="Calibri" w:cs="Calibri"/>
              </w:rPr>
              <w:t xml:space="preserve">   </w:t>
            </w:r>
            <w:r w:rsidRPr="009D3F5A">
              <w:rPr>
                <w:rFonts w:ascii="Calibri" w:eastAsia="Times New Roman" w:hAnsi="Calibri" w:cs="Calibri"/>
              </w:rPr>
              <w:t>                 </w:t>
            </w:r>
            <w:proofErr w:type="gramStart"/>
            <w:r w:rsidRPr="009D3F5A">
              <w:rPr>
                <w:rFonts w:ascii="Calibri" w:eastAsia="Times New Roman" w:hAnsi="Calibri" w:cs="Calibri"/>
              </w:rPr>
              <w:t>   (</w:t>
            </w:r>
            <w:proofErr w:type="gramEnd"/>
            <w:r w:rsidRPr="009D3F5A">
              <w:rPr>
                <w:rFonts w:ascii="Calibri" w:eastAsia="Times New Roman" w:hAnsi="Calibri" w:cs="Calibri"/>
              </w:rPr>
              <w:t>$1,500)</w:t>
            </w:r>
          </w:p>
          <w:p w14:paraId="4F7F0D67" w14:textId="6229E2D3" w:rsidR="00E04C7F" w:rsidRPr="009D3F5A" w:rsidRDefault="00E04C7F" w:rsidP="00E04C7F">
            <w:pPr>
              <w:numPr>
                <w:ilvl w:val="3"/>
                <w:numId w:val="1"/>
              </w:numPr>
              <w:rPr>
                <w:rFonts w:ascii="Calibri" w:eastAsia="Times New Roman" w:hAnsi="Calibri" w:cs="Calibri"/>
              </w:rPr>
            </w:pPr>
            <w:r w:rsidRPr="009D3F5A">
              <w:rPr>
                <w:rFonts w:ascii="Calibri" w:eastAsia="Times New Roman" w:hAnsi="Calibri" w:cs="Calibri"/>
              </w:rPr>
              <w:lastRenderedPageBreak/>
              <w:t>$5,4</w:t>
            </w:r>
            <w:r w:rsidR="00602BFA" w:rsidRPr="009D3F5A">
              <w:rPr>
                <w:rFonts w:ascii="Calibri" w:eastAsia="Times New Roman" w:hAnsi="Calibri" w:cs="Calibri"/>
              </w:rPr>
              <w:t>96</w:t>
            </w:r>
            <w:r w:rsidRPr="009D3F5A">
              <w:rPr>
                <w:rFonts w:ascii="Calibri" w:eastAsia="Times New Roman" w:hAnsi="Calibri" w:cs="Calibri"/>
              </w:rPr>
              <w:t xml:space="preserve"> - $9,999               </w:t>
            </w:r>
            <w:proofErr w:type="gramStart"/>
            <w:r w:rsidRPr="009D3F5A">
              <w:rPr>
                <w:rFonts w:ascii="Calibri" w:eastAsia="Times New Roman" w:hAnsi="Calibri" w:cs="Calibri"/>
              </w:rPr>
              <w:t>   (</w:t>
            </w:r>
            <w:proofErr w:type="gramEnd"/>
            <w:r w:rsidRPr="009D3F5A">
              <w:rPr>
                <w:rFonts w:ascii="Calibri" w:eastAsia="Times New Roman" w:hAnsi="Calibri" w:cs="Calibri"/>
              </w:rPr>
              <w:t>$1,330)</w:t>
            </w:r>
          </w:p>
          <w:p w14:paraId="58320840" w14:textId="77777777" w:rsidR="00E04C7F" w:rsidRPr="009D3F5A" w:rsidRDefault="00E04C7F" w:rsidP="00E04C7F">
            <w:pPr>
              <w:numPr>
                <w:ilvl w:val="3"/>
                <w:numId w:val="1"/>
              </w:numPr>
              <w:rPr>
                <w:rFonts w:ascii="Calibri" w:eastAsia="Times New Roman" w:hAnsi="Calibri" w:cs="Calibri"/>
              </w:rPr>
            </w:pPr>
            <w:r w:rsidRPr="009D3F5A">
              <w:rPr>
                <w:rFonts w:ascii="Calibri" w:eastAsia="Times New Roman" w:hAnsi="Calibri" w:cs="Calibri"/>
              </w:rPr>
              <w:t>$10,000 - $14,999          </w:t>
            </w:r>
            <w:proofErr w:type="gramStart"/>
            <w:r w:rsidRPr="009D3F5A">
              <w:rPr>
                <w:rFonts w:ascii="Calibri" w:eastAsia="Times New Roman" w:hAnsi="Calibri" w:cs="Calibri"/>
              </w:rPr>
              <w:t>   (</w:t>
            </w:r>
            <w:proofErr w:type="gramEnd"/>
            <w:r w:rsidRPr="009D3F5A">
              <w:rPr>
                <w:rFonts w:ascii="Calibri" w:eastAsia="Times New Roman" w:hAnsi="Calibri" w:cs="Calibri"/>
              </w:rPr>
              <w:t>$1,000)</w:t>
            </w:r>
          </w:p>
          <w:p w14:paraId="1273654E" w14:textId="77777777" w:rsidR="00E04C7F" w:rsidRPr="009D3F5A" w:rsidRDefault="00E04C7F" w:rsidP="00E04C7F">
            <w:pPr>
              <w:numPr>
                <w:ilvl w:val="3"/>
                <w:numId w:val="1"/>
              </w:numPr>
              <w:rPr>
                <w:rFonts w:ascii="Calibri" w:eastAsia="Times New Roman" w:hAnsi="Calibri" w:cs="Calibri"/>
              </w:rPr>
            </w:pPr>
            <w:r w:rsidRPr="009D3F5A">
              <w:rPr>
                <w:rFonts w:ascii="Calibri" w:eastAsia="Times New Roman" w:hAnsi="Calibri" w:cs="Calibri"/>
              </w:rPr>
              <w:t>$15,000 -$21,999           </w:t>
            </w:r>
            <w:proofErr w:type="gramStart"/>
            <w:r w:rsidRPr="009D3F5A">
              <w:rPr>
                <w:rFonts w:ascii="Calibri" w:eastAsia="Times New Roman" w:hAnsi="Calibri" w:cs="Calibri"/>
              </w:rPr>
              <w:t>   (</w:t>
            </w:r>
            <w:proofErr w:type="gramEnd"/>
            <w:r w:rsidRPr="009D3F5A">
              <w:rPr>
                <w:rFonts w:ascii="Calibri" w:eastAsia="Times New Roman" w:hAnsi="Calibri" w:cs="Calibri"/>
              </w:rPr>
              <w:t>$900)</w:t>
            </w:r>
          </w:p>
          <w:p w14:paraId="700223F2" w14:textId="74A4D98C" w:rsidR="00E04C7F" w:rsidRPr="009D3F5A" w:rsidRDefault="00E04C7F" w:rsidP="00E04C7F">
            <w:pPr>
              <w:numPr>
                <w:ilvl w:val="3"/>
                <w:numId w:val="1"/>
              </w:numPr>
              <w:rPr>
                <w:rFonts w:ascii="Calibri" w:eastAsia="Times New Roman" w:hAnsi="Calibri" w:cs="Calibri"/>
              </w:rPr>
            </w:pPr>
            <w:r w:rsidRPr="009D3F5A">
              <w:rPr>
                <w:rFonts w:ascii="Calibri" w:eastAsia="Times New Roman" w:hAnsi="Calibri" w:cs="Calibri"/>
              </w:rPr>
              <w:t>$22,000-$45,000           </w:t>
            </w:r>
            <w:proofErr w:type="gramStart"/>
            <w:r w:rsidRPr="009D3F5A">
              <w:rPr>
                <w:rFonts w:ascii="Calibri" w:eastAsia="Times New Roman" w:hAnsi="Calibri" w:cs="Calibri"/>
              </w:rPr>
              <w:t>   (</w:t>
            </w:r>
            <w:proofErr w:type="gramEnd"/>
            <w:r w:rsidRPr="009D3F5A">
              <w:rPr>
                <w:rFonts w:ascii="Calibri" w:eastAsia="Times New Roman" w:hAnsi="Calibri" w:cs="Calibri"/>
              </w:rPr>
              <w:t>$</w:t>
            </w:r>
            <w:r w:rsidR="00602BFA" w:rsidRPr="009D3F5A">
              <w:rPr>
                <w:rFonts w:ascii="Calibri" w:eastAsia="Times New Roman" w:hAnsi="Calibri" w:cs="Calibri"/>
              </w:rPr>
              <w:t>6</w:t>
            </w:r>
            <w:r w:rsidRPr="009D3F5A">
              <w:rPr>
                <w:rFonts w:ascii="Calibri" w:eastAsia="Times New Roman" w:hAnsi="Calibri" w:cs="Calibri"/>
              </w:rPr>
              <w:t>00)</w:t>
            </w:r>
          </w:p>
          <w:p w14:paraId="1D29E71D" w14:textId="77777777" w:rsidR="00E04C7F" w:rsidRPr="009D3F5A" w:rsidRDefault="00E04C7F" w:rsidP="00E04C7F">
            <w:pPr>
              <w:numPr>
                <w:ilvl w:val="3"/>
                <w:numId w:val="1"/>
              </w:numPr>
              <w:rPr>
                <w:rFonts w:ascii="Calibri" w:eastAsia="Times New Roman" w:hAnsi="Calibri" w:cs="Calibri"/>
              </w:rPr>
            </w:pPr>
            <w:r w:rsidRPr="009D3F5A">
              <w:rPr>
                <w:rFonts w:ascii="Calibri" w:eastAsia="Times New Roman" w:hAnsi="Calibri" w:cs="Calibri"/>
              </w:rPr>
              <w:t>$45,000 +                         </w:t>
            </w:r>
            <w:proofErr w:type="gramStart"/>
            <w:r w:rsidRPr="009D3F5A">
              <w:rPr>
                <w:rFonts w:ascii="Calibri" w:eastAsia="Times New Roman" w:hAnsi="Calibri" w:cs="Calibri"/>
              </w:rPr>
              <w:t>   (</w:t>
            </w:r>
            <w:proofErr w:type="gramEnd"/>
            <w:r w:rsidRPr="009D3F5A">
              <w:rPr>
                <w:rFonts w:ascii="Calibri" w:eastAsia="Times New Roman" w:hAnsi="Calibri" w:cs="Calibri"/>
              </w:rPr>
              <w:t>$500)</w:t>
            </w:r>
          </w:p>
          <w:p w14:paraId="6B940219" w14:textId="65AF617E" w:rsidR="00E04C7F" w:rsidRPr="009D3F5A" w:rsidRDefault="00E04C7F" w:rsidP="00E04C7F">
            <w:pPr>
              <w:numPr>
                <w:ilvl w:val="2"/>
                <w:numId w:val="1"/>
              </w:numPr>
              <w:rPr>
                <w:rFonts w:ascii="Calibri" w:eastAsia="Times New Roman" w:hAnsi="Calibri" w:cs="Calibri"/>
              </w:rPr>
            </w:pPr>
            <w:r w:rsidRPr="009D3F5A">
              <w:rPr>
                <w:rFonts w:ascii="Calibri" w:eastAsia="Times New Roman" w:hAnsi="Calibri" w:cs="Calibri"/>
              </w:rPr>
              <w:t>We would prorate all amounts in half for part-time students (GRAD and UNDG)</w:t>
            </w:r>
          </w:p>
          <w:p w14:paraId="143C1371" w14:textId="5756F685" w:rsidR="00FA40EF" w:rsidRPr="009D3F5A" w:rsidRDefault="008837F8" w:rsidP="00E04C7F">
            <w:pPr>
              <w:numPr>
                <w:ilvl w:val="2"/>
                <w:numId w:val="1"/>
              </w:numPr>
              <w:rPr>
                <w:rFonts w:ascii="Calibri" w:eastAsia="Times New Roman" w:hAnsi="Calibri" w:cs="Calibri"/>
              </w:rPr>
            </w:pPr>
            <w:r w:rsidRPr="009D3F5A">
              <w:rPr>
                <w:rFonts w:ascii="Calibri" w:eastAsia="Times New Roman" w:hAnsi="Calibri" w:cs="Calibri"/>
              </w:rPr>
              <w:t>Reviewed summer awarded students to see if eligible for additional based on credits and increased award to appropriate level</w:t>
            </w:r>
          </w:p>
          <w:p w14:paraId="28216CA0" w14:textId="77777777" w:rsidR="00E04C7F" w:rsidRPr="009D3F5A" w:rsidRDefault="00E04C7F" w:rsidP="00DE1882">
            <w:pPr>
              <w:rPr>
                <w:sz w:val="21"/>
                <w:szCs w:val="21"/>
              </w:rPr>
            </w:pPr>
          </w:p>
        </w:tc>
      </w:tr>
      <w:tr w:rsidR="00E04C7F" w:rsidRPr="00A236DF" w14:paraId="53C85D23" w14:textId="77777777" w:rsidTr="00E04C7F">
        <w:trPr>
          <w:trHeight w:val="350"/>
        </w:trPr>
        <w:tc>
          <w:tcPr>
            <w:tcW w:w="4675" w:type="dxa"/>
          </w:tcPr>
          <w:p w14:paraId="2CA88469" w14:textId="77777777" w:rsidR="00E04C7F" w:rsidRPr="0017254D" w:rsidRDefault="00E04C7F" w:rsidP="00042AF7">
            <w:pPr>
              <w:rPr>
                <w:rFonts w:cstheme="minorHAnsi"/>
                <w:sz w:val="21"/>
                <w:szCs w:val="21"/>
              </w:rPr>
            </w:pPr>
            <w:r>
              <w:rPr>
                <w:rFonts w:cstheme="minorHAnsi"/>
                <w:sz w:val="21"/>
                <w:szCs w:val="21"/>
              </w:rPr>
              <w:lastRenderedPageBreak/>
              <w:t>Providing reimbursements for tuition, housing, room and board, or other fee refunds.</w:t>
            </w:r>
          </w:p>
        </w:tc>
        <w:tc>
          <w:tcPr>
            <w:tcW w:w="2160" w:type="dxa"/>
          </w:tcPr>
          <w:p w14:paraId="57EC838A" w14:textId="77777777" w:rsidR="00E04C7F" w:rsidRPr="00206D77" w:rsidRDefault="00E04C7F" w:rsidP="00042AF7">
            <w:pPr>
              <w:jc w:val="center"/>
              <w:rPr>
                <w:rFonts w:cstheme="minorHAnsi"/>
                <w:sz w:val="21"/>
                <w:szCs w:val="21"/>
                <w:highlight w:val="black"/>
              </w:rPr>
            </w:pPr>
          </w:p>
        </w:tc>
        <w:tc>
          <w:tcPr>
            <w:tcW w:w="6840" w:type="dxa"/>
          </w:tcPr>
          <w:p w14:paraId="277F2558" w14:textId="77777777" w:rsidR="00E04C7F" w:rsidRPr="00206D77" w:rsidRDefault="00E04C7F" w:rsidP="00042AF7">
            <w:pPr>
              <w:rPr>
                <w:sz w:val="21"/>
                <w:szCs w:val="21"/>
              </w:rPr>
            </w:pPr>
          </w:p>
        </w:tc>
      </w:tr>
      <w:tr w:rsidR="00E04C7F" w:rsidRPr="00B0429C" w14:paraId="18FCB493" w14:textId="77777777" w:rsidTr="00E04C7F">
        <w:trPr>
          <w:trHeight w:val="403"/>
        </w:trPr>
        <w:tc>
          <w:tcPr>
            <w:tcW w:w="4675" w:type="dxa"/>
          </w:tcPr>
          <w:p w14:paraId="48A9DC15" w14:textId="77777777" w:rsidR="00E04C7F" w:rsidRPr="0017254D" w:rsidRDefault="00E04C7F" w:rsidP="00042AF7">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2160" w:type="dxa"/>
            <w:shd w:val="clear" w:color="auto" w:fill="808080" w:themeFill="background1" w:themeFillShade="80"/>
          </w:tcPr>
          <w:p w14:paraId="376CFFB3" w14:textId="77777777" w:rsidR="00E04C7F" w:rsidRPr="00206D77" w:rsidRDefault="00E04C7F" w:rsidP="00042AF7">
            <w:pPr>
              <w:rPr>
                <w:rFonts w:cstheme="minorHAnsi"/>
                <w:sz w:val="21"/>
                <w:szCs w:val="21"/>
              </w:rPr>
            </w:pPr>
          </w:p>
        </w:tc>
        <w:tc>
          <w:tcPr>
            <w:tcW w:w="6840" w:type="dxa"/>
          </w:tcPr>
          <w:p w14:paraId="6B9A4958" w14:textId="77777777" w:rsidR="00E04C7F" w:rsidRPr="00206D77" w:rsidRDefault="00E04C7F" w:rsidP="00042AF7">
            <w:pPr>
              <w:rPr>
                <w:rFonts w:cstheme="minorHAnsi"/>
                <w:sz w:val="21"/>
                <w:szCs w:val="21"/>
              </w:rPr>
            </w:pPr>
          </w:p>
        </w:tc>
      </w:tr>
      <w:tr w:rsidR="00E04C7F" w:rsidRPr="00B0429C" w14:paraId="5D4E80DE" w14:textId="77777777" w:rsidTr="00E04C7F">
        <w:trPr>
          <w:trHeight w:val="885"/>
        </w:trPr>
        <w:tc>
          <w:tcPr>
            <w:tcW w:w="4675" w:type="dxa"/>
          </w:tcPr>
          <w:p w14:paraId="31A82BC4" w14:textId="77777777" w:rsidR="00E04C7F" w:rsidRPr="0017254D" w:rsidRDefault="00E04C7F" w:rsidP="00042AF7">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2160" w:type="dxa"/>
          </w:tcPr>
          <w:p w14:paraId="1BA3D92B" w14:textId="77777777" w:rsidR="00E04C7F" w:rsidRPr="00206D77" w:rsidRDefault="00E04C7F" w:rsidP="00042AF7">
            <w:pPr>
              <w:jc w:val="center"/>
              <w:rPr>
                <w:sz w:val="21"/>
                <w:szCs w:val="21"/>
              </w:rPr>
            </w:pPr>
            <w:r w:rsidRPr="60E22AC3">
              <w:rPr>
                <w:sz w:val="21"/>
                <w:szCs w:val="21"/>
              </w:rPr>
              <w:t>$</w:t>
            </w:r>
          </w:p>
        </w:tc>
        <w:tc>
          <w:tcPr>
            <w:tcW w:w="6840" w:type="dxa"/>
          </w:tcPr>
          <w:p w14:paraId="77CF0DBA" w14:textId="77777777" w:rsidR="00E04C7F" w:rsidRPr="00206D77" w:rsidRDefault="00E04C7F" w:rsidP="00042AF7">
            <w:pPr>
              <w:rPr>
                <w:rFonts w:cstheme="minorHAnsi"/>
                <w:sz w:val="21"/>
                <w:szCs w:val="21"/>
              </w:rPr>
            </w:pPr>
          </w:p>
        </w:tc>
      </w:tr>
      <w:tr w:rsidR="00E04C7F" w:rsidRPr="00B0429C" w14:paraId="364A53A3" w14:textId="77777777" w:rsidTr="00E04C7F">
        <w:trPr>
          <w:trHeight w:val="350"/>
        </w:trPr>
        <w:tc>
          <w:tcPr>
            <w:tcW w:w="4675" w:type="dxa"/>
          </w:tcPr>
          <w:p w14:paraId="27B2BEDC" w14:textId="77777777" w:rsidR="00E04C7F" w:rsidRPr="0017254D" w:rsidRDefault="00E04C7F" w:rsidP="00042AF7">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2160" w:type="dxa"/>
          </w:tcPr>
          <w:p w14:paraId="0F50BB37" w14:textId="77777777" w:rsidR="00E04C7F" w:rsidRPr="00206D77" w:rsidRDefault="00E04C7F" w:rsidP="00042AF7">
            <w:pPr>
              <w:jc w:val="center"/>
              <w:rPr>
                <w:sz w:val="21"/>
                <w:szCs w:val="21"/>
              </w:rPr>
            </w:pPr>
          </w:p>
        </w:tc>
        <w:tc>
          <w:tcPr>
            <w:tcW w:w="6840" w:type="dxa"/>
          </w:tcPr>
          <w:p w14:paraId="272AF6C9" w14:textId="77777777" w:rsidR="00E04C7F" w:rsidRPr="00206D77" w:rsidRDefault="00E04C7F" w:rsidP="00042AF7">
            <w:pPr>
              <w:rPr>
                <w:rFonts w:cstheme="minorHAnsi"/>
                <w:sz w:val="21"/>
                <w:szCs w:val="21"/>
              </w:rPr>
            </w:pPr>
          </w:p>
        </w:tc>
      </w:tr>
      <w:tr w:rsidR="00E04C7F" w:rsidRPr="00B0429C" w14:paraId="28738F84" w14:textId="77777777" w:rsidTr="00E04C7F">
        <w:trPr>
          <w:trHeight w:val="1610"/>
        </w:trPr>
        <w:tc>
          <w:tcPr>
            <w:tcW w:w="4675" w:type="dxa"/>
          </w:tcPr>
          <w:p w14:paraId="5C776D27" w14:textId="77777777" w:rsidR="00E04C7F" w:rsidRPr="003860CC" w:rsidDel="000711FF" w:rsidRDefault="00E04C7F" w:rsidP="00042AF7">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2160" w:type="dxa"/>
          </w:tcPr>
          <w:p w14:paraId="6CA3624F" w14:textId="77777777" w:rsidR="00E04C7F" w:rsidRPr="00206D77" w:rsidRDefault="00E04C7F" w:rsidP="00042AF7">
            <w:pPr>
              <w:jc w:val="center"/>
              <w:rPr>
                <w:sz w:val="21"/>
                <w:szCs w:val="21"/>
              </w:rPr>
            </w:pPr>
            <w:r>
              <w:rPr>
                <w:sz w:val="21"/>
                <w:szCs w:val="21"/>
              </w:rPr>
              <w:t>$</w:t>
            </w:r>
          </w:p>
        </w:tc>
        <w:tc>
          <w:tcPr>
            <w:tcW w:w="6840" w:type="dxa"/>
          </w:tcPr>
          <w:p w14:paraId="52FF552D" w14:textId="77777777" w:rsidR="00E04C7F" w:rsidRPr="00206D77" w:rsidRDefault="00E04C7F" w:rsidP="00042AF7">
            <w:pPr>
              <w:rPr>
                <w:rFonts w:cstheme="minorHAnsi"/>
                <w:sz w:val="21"/>
                <w:szCs w:val="21"/>
              </w:rPr>
            </w:pPr>
          </w:p>
        </w:tc>
      </w:tr>
      <w:tr w:rsidR="00E04C7F" w:rsidRPr="00B0429C" w14:paraId="119A22B8" w14:textId="77777777" w:rsidTr="00E04C7F">
        <w:trPr>
          <w:trHeight w:val="350"/>
        </w:trPr>
        <w:tc>
          <w:tcPr>
            <w:tcW w:w="4675" w:type="dxa"/>
          </w:tcPr>
          <w:p w14:paraId="74559191" w14:textId="77777777" w:rsidR="00E04C7F" w:rsidRPr="0017254D" w:rsidRDefault="00E04C7F" w:rsidP="00042AF7">
            <w:pPr>
              <w:rPr>
                <w:rFonts w:cstheme="minorHAnsi"/>
                <w:sz w:val="21"/>
                <w:szCs w:val="21"/>
              </w:rPr>
            </w:pPr>
            <w:r w:rsidRPr="0017254D">
              <w:rPr>
                <w:rFonts w:cstheme="minorHAnsi"/>
                <w:sz w:val="21"/>
                <w:szCs w:val="21"/>
              </w:rPr>
              <w:t xml:space="preserve">Subsidizing food service to reduce density in eating facilities, to provide pre-packaged meals, or to add </w:t>
            </w:r>
            <w:r w:rsidRPr="0017254D">
              <w:rPr>
                <w:rFonts w:cstheme="minorHAnsi"/>
                <w:sz w:val="21"/>
                <w:szCs w:val="21"/>
              </w:rPr>
              <w:lastRenderedPageBreak/>
              <w:t xml:space="preserve">hours to food service operations to accommodate social distancing. </w:t>
            </w:r>
          </w:p>
        </w:tc>
        <w:tc>
          <w:tcPr>
            <w:tcW w:w="2160" w:type="dxa"/>
          </w:tcPr>
          <w:p w14:paraId="11BE66FB" w14:textId="77777777" w:rsidR="00E04C7F" w:rsidRPr="00206D77" w:rsidRDefault="00E04C7F" w:rsidP="00042AF7">
            <w:pPr>
              <w:jc w:val="center"/>
              <w:rPr>
                <w:sz w:val="21"/>
                <w:szCs w:val="21"/>
              </w:rPr>
            </w:pPr>
            <w:r w:rsidRPr="3B3C2A4F">
              <w:rPr>
                <w:sz w:val="21"/>
                <w:szCs w:val="21"/>
              </w:rPr>
              <w:lastRenderedPageBreak/>
              <w:t>$</w:t>
            </w:r>
          </w:p>
        </w:tc>
        <w:tc>
          <w:tcPr>
            <w:tcW w:w="6840" w:type="dxa"/>
          </w:tcPr>
          <w:p w14:paraId="50817609" w14:textId="77777777" w:rsidR="00E04C7F" w:rsidRPr="00206D77" w:rsidRDefault="00E04C7F" w:rsidP="00042AF7">
            <w:pPr>
              <w:rPr>
                <w:rFonts w:cstheme="minorHAnsi"/>
                <w:sz w:val="21"/>
                <w:szCs w:val="21"/>
              </w:rPr>
            </w:pPr>
          </w:p>
        </w:tc>
      </w:tr>
      <w:tr w:rsidR="00E04C7F" w:rsidRPr="00B0429C" w14:paraId="63243E58" w14:textId="77777777" w:rsidTr="00E04C7F">
        <w:trPr>
          <w:trHeight w:val="350"/>
        </w:trPr>
        <w:tc>
          <w:tcPr>
            <w:tcW w:w="4675" w:type="dxa"/>
            <w:shd w:val="clear" w:color="auto" w:fill="auto"/>
          </w:tcPr>
          <w:p w14:paraId="6132B273" w14:textId="77777777" w:rsidR="00E04C7F" w:rsidRPr="0017254D" w:rsidDel="000711FF" w:rsidRDefault="00E04C7F" w:rsidP="00042AF7">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2160" w:type="dxa"/>
            <w:shd w:val="clear" w:color="auto" w:fill="auto"/>
          </w:tcPr>
          <w:p w14:paraId="70F4DC29" w14:textId="77777777" w:rsidR="00E04C7F" w:rsidRPr="00206D77" w:rsidRDefault="00E04C7F" w:rsidP="00042AF7">
            <w:pPr>
              <w:jc w:val="center"/>
              <w:rPr>
                <w:sz w:val="21"/>
                <w:szCs w:val="21"/>
              </w:rPr>
            </w:pPr>
          </w:p>
        </w:tc>
        <w:tc>
          <w:tcPr>
            <w:tcW w:w="6840" w:type="dxa"/>
            <w:shd w:val="clear" w:color="auto" w:fill="auto"/>
          </w:tcPr>
          <w:p w14:paraId="7CAF10CB" w14:textId="77777777" w:rsidR="00E04C7F" w:rsidRPr="00206D77" w:rsidRDefault="00E04C7F" w:rsidP="00042AF7">
            <w:pPr>
              <w:rPr>
                <w:rFonts w:cstheme="minorHAnsi"/>
                <w:sz w:val="21"/>
                <w:szCs w:val="21"/>
              </w:rPr>
            </w:pPr>
          </w:p>
        </w:tc>
      </w:tr>
      <w:tr w:rsidR="00E04C7F" w:rsidRPr="00B0429C" w14:paraId="3C4F4C99" w14:textId="77777777" w:rsidTr="00E04C7F">
        <w:trPr>
          <w:trHeight w:val="403"/>
        </w:trPr>
        <w:tc>
          <w:tcPr>
            <w:tcW w:w="4675" w:type="dxa"/>
            <w:shd w:val="clear" w:color="auto" w:fill="auto"/>
          </w:tcPr>
          <w:p w14:paraId="0078A6E4" w14:textId="77777777" w:rsidR="00E04C7F" w:rsidRDefault="00E04C7F" w:rsidP="00042AF7">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2"/>
            </w:r>
          </w:p>
        </w:tc>
        <w:tc>
          <w:tcPr>
            <w:tcW w:w="2160" w:type="dxa"/>
            <w:shd w:val="clear" w:color="auto" w:fill="auto"/>
          </w:tcPr>
          <w:p w14:paraId="2FA7220A" w14:textId="77777777" w:rsidR="00E04C7F" w:rsidRPr="00206D77" w:rsidRDefault="00E04C7F" w:rsidP="00042AF7">
            <w:pPr>
              <w:jc w:val="center"/>
              <w:rPr>
                <w:sz w:val="21"/>
                <w:szCs w:val="21"/>
              </w:rPr>
            </w:pPr>
            <w:r w:rsidRPr="3B3C2A4F">
              <w:rPr>
                <w:sz w:val="21"/>
                <w:szCs w:val="21"/>
              </w:rPr>
              <w:t>$</w:t>
            </w:r>
          </w:p>
        </w:tc>
        <w:tc>
          <w:tcPr>
            <w:tcW w:w="6840" w:type="dxa"/>
            <w:shd w:val="clear" w:color="auto" w:fill="auto"/>
          </w:tcPr>
          <w:p w14:paraId="39D1AFBA" w14:textId="77777777" w:rsidR="00E04C7F" w:rsidRPr="00206D77" w:rsidRDefault="00E04C7F" w:rsidP="00042AF7">
            <w:pPr>
              <w:rPr>
                <w:rFonts w:cstheme="minorHAnsi"/>
                <w:sz w:val="21"/>
                <w:szCs w:val="21"/>
              </w:rPr>
            </w:pPr>
          </w:p>
        </w:tc>
      </w:tr>
      <w:tr w:rsidR="00E04C7F" w:rsidRPr="00B0429C" w14:paraId="2D5BE1BE" w14:textId="77777777" w:rsidTr="00E04C7F">
        <w:trPr>
          <w:trHeight w:val="350"/>
        </w:trPr>
        <w:tc>
          <w:tcPr>
            <w:tcW w:w="4675" w:type="dxa"/>
            <w:shd w:val="clear" w:color="auto" w:fill="auto"/>
          </w:tcPr>
          <w:p w14:paraId="493A5975" w14:textId="77777777" w:rsidR="00E04C7F" w:rsidRPr="0017254D" w:rsidDel="000711FF" w:rsidRDefault="00E04C7F" w:rsidP="00042AF7">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2160" w:type="dxa"/>
            <w:shd w:val="clear" w:color="auto" w:fill="auto"/>
          </w:tcPr>
          <w:p w14:paraId="5E86A91B" w14:textId="77777777" w:rsidR="00E04C7F" w:rsidRPr="00206D77" w:rsidRDefault="00E04C7F" w:rsidP="00042AF7">
            <w:pPr>
              <w:jc w:val="center"/>
              <w:rPr>
                <w:sz w:val="21"/>
                <w:szCs w:val="21"/>
              </w:rPr>
            </w:pPr>
          </w:p>
        </w:tc>
        <w:tc>
          <w:tcPr>
            <w:tcW w:w="6840" w:type="dxa"/>
            <w:shd w:val="clear" w:color="auto" w:fill="auto"/>
          </w:tcPr>
          <w:p w14:paraId="6F125536" w14:textId="77777777" w:rsidR="00E04C7F" w:rsidRPr="00206D77" w:rsidRDefault="00E04C7F" w:rsidP="00042AF7">
            <w:pPr>
              <w:rPr>
                <w:rFonts w:cstheme="minorHAnsi"/>
                <w:sz w:val="21"/>
                <w:szCs w:val="21"/>
              </w:rPr>
            </w:pPr>
          </w:p>
        </w:tc>
      </w:tr>
      <w:tr w:rsidR="00E04C7F" w:rsidRPr="00B0429C" w14:paraId="669022C5" w14:textId="77777777" w:rsidTr="00E04C7F">
        <w:trPr>
          <w:trHeight w:val="576"/>
        </w:trPr>
        <w:tc>
          <w:tcPr>
            <w:tcW w:w="4675" w:type="dxa"/>
          </w:tcPr>
          <w:p w14:paraId="38F009DE" w14:textId="77777777" w:rsidR="00E04C7F" w:rsidRPr="0017254D" w:rsidDel="000711FF" w:rsidRDefault="00E04C7F" w:rsidP="00042AF7">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2160" w:type="dxa"/>
            <w:shd w:val="clear" w:color="auto" w:fill="7F7F7F" w:themeFill="text1" w:themeFillTint="80"/>
          </w:tcPr>
          <w:p w14:paraId="6BB76D4D" w14:textId="77777777" w:rsidR="00E04C7F" w:rsidRPr="00206D77" w:rsidRDefault="00E04C7F" w:rsidP="00042AF7">
            <w:pPr>
              <w:rPr>
                <w:rFonts w:cstheme="minorHAnsi"/>
                <w:sz w:val="21"/>
                <w:szCs w:val="21"/>
              </w:rPr>
            </w:pPr>
          </w:p>
        </w:tc>
        <w:tc>
          <w:tcPr>
            <w:tcW w:w="6840" w:type="dxa"/>
          </w:tcPr>
          <w:p w14:paraId="76E91323" w14:textId="77777777" w:rsidR="00E04C7F" w:rsidRPr="00206D77" w:rsidRDefault="00E04C7F" w:rsidP="00042AF7">
            <w:pPr>
              <w:rPr>
                <w:rFonts w:cstheme="minorHAnsi"/>
                <w:sz w:val="21"/>
                <w:szCs w:val="21"/>
              </w:rPr>
            </w:pPr>
          </w:p>
        </w:tc>
      </w:tr>
      <w:tr w:rsidR="00E04C7F" w:rsidRPr="00B0429C" w14:paraId="030DCB43" w14:textId="77777777" w:rsidTr="00E04C7F">
        <w:trPr>
          <w:trHeight w:val="350"/>
        </w:trPr>
        <w:tc>
          <w:tcPr>
            <w:tcW w:w="4675" w:type="dxa"/>
          </w:tcPr>
          <w:p w14:paraId="4292BF8D" w14:textId="77777777" w:rsidR="00E04C7F" w:rsidRPr="0017254D" w:rsidRDefault="00E04C7F" w:rsidP="00042AF7">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w:t>
            </w:r>
            <w:proofErr w:type="gramStart"/>
            <w:r w:rsidRPr="0017254D">
              <w:rPr>
                <w:rFonts w:cstheme="minorHAnsi"/>
                <w:sz w:val="21"/>
                <w:szCs w:val="21"/>
              </w:rPr>
              <w:t>childcare</w:t>
            </w:r>
            <w:proofErr w:type="gramEnd"/>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3"/>
            </w:r>
          </w:p>
        </w:tc>
        <w:tc>
          <w:tcPr>
            <w:tcW w:w="2160" w:type="dxa"/>
            <w:shd w:val="clear" w:color="auto" w:fill="808080" w:themeFill="background1" w:themeFillShade="80"/>
          </w:tcPr>
          <w:p w14:paraId="12CB51DA" w14:textId="77777777" w:rsidR="00E04C7F" w:rsidRPr="00206D77" w:rsidRDefault="00E04C7F" w:rsidP="00042AF7">
            <w:pPr>
              <w:rPr>
                <w:rFonts w:cstheme="minorHAnsi"/>
                <w:sz w:val="21"/>
                <w:szCs w:val="21"/>
              </w:rPr>
            </w:pPr>
          </w:p>
        </w:tc>
        <w:tc>
          <w:tcPr>
            <w:tcW w:w="6840" w:type="dxa"/>
          </w:tcPr>
          <w:p w14:paraId="1D0FD291" w14:textId="77777777" w:rsidR="00E04C7F" w:rsidRPr="00206D77" w:rsidRDefault="00E04C7F" w:rsidP="00042AF7">
            <w:pPr>
              <w:rPr>
                <w:rFonts w:cstheme="minorHAnsi"/>
                <w:sz w:val="21"/>
                <w:szCs w:val="21"/>
              </w:rPr>
            </w:pPr>
          </w:p>
        </w:tc>
      </w:tr>
      <w:tr w:rsidR="00E04C7F" w:rsidRPr="00B0429C" w14:paraId="01A856EF" w14:textId="77777777" w:rsidTr="00E04C7F">
        <w:trPr>
          <w:trHeight w:val="350"/>
        </w:trPr>
        <w:tc>
          <w:tcPr>
            <w:tcW w:w="4675" w:type="dxa"/>
          </w:tcPr>
          <w:p w14:paraId="433B80DD" w14:textId="77777777" w:rsidR="00E04C7F" w:rsidRPr="0017254D" w:rsidRDefault="00E04C7F" w:rsidP="00042AF7">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2160" w:type="dxa"/>
          </w:tcPr>
          <w:p w14:paraId="5CCB689D" w14:textId="77777777" w:rsidR="00E04C7F" w:rsidRPr="00206D77" w:rsidRDefault="00E04C7F" w:rsidP="00042AF7">
            <w:pPr>
              <w:rPr>
                <w:rFonts w:cstheme="minorHAnsi"/>
                <w:sz w:val="21"/>
                <w:szCs w:val="21"/>
              </w:rPr>
            </w:pPr>
          </w:p>
        </w:tc>
        <w:tc>
          <w:tcPr>
            <w:tcW w:w="6840" w:type="dxa"/>
          </w:tcPr>
          <w:p w14:paraId="02794713" w14:textId="77777777" w:rsidR="00E04C7F" w:rsidRPr="00206D77" w:rsidRDefault="00E04C7F" w:rsidP="00042AF7">
            <w:pPr>
              <w:rPr>
                <w:rFonts w:cstheme="minorHAnsi"/>
                <w:sz w:val="21"/>
                <w:szCs w:val="21"/>
              </w:rPr>
            </w:pPr>
          </w:p>
        </w:tc>
      </w:tr>
      <w:tr w:rsidR="00E04C7F" w:rsidRPr="00B0429C" w14:paraId="78996F67" w14:textId="77777777" w:rsidTr="00E04C7F">
        <w:trPr>
          <w:trHeight w:val="350"/>
        </w:trPr>
        <w:tc>
          <w:tcPr>
            <w:tcW w:w="4675" w:type="dxa"/>
          </w:tcPr>
          <w:p w14:paraId="321BB6B1" w14:textId="77777777" w:rsidR="00E04C7F" w:rsidRPr="0017254D" w:rsidRDefault="00E04C7F" w:rsidP="00042AF7">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w:t>
            </w:r>
            <w:r w:rsidRPr="0017254D">
              <w:rPr>
                <w:rFonts w:cstheme="minorHAnsi"/>
                <w:sz w:val="21"/>
                <w:szCs w:val="21"/>
              </w:rPr>
              <w:lastRenderedPageBreak/>
              <w:t>or upgrading campus wi-fi access or extending open networks to parking lots or public spaces, etc.</w:t>
            </w:r>
          </w:p>
        </w:tc>
        <w:tc>
          <w:tcPr>
            <w:tcW w:w="2160" w:type="dxa"/>
          </w:tcPr>
          <w:p w14:paraId="6C3C60AF" w14:textId="77777777" w:rsidR="00E04C7F" w:rsidRPr="00206D77" w:rsidRDefault="00E04C7F" w:rsidP="00042AF7">
            <w:pPr>
              <w:rPr>
                <w:rFonts w:cstheme="minorHAnsi"/>
                <w:sz w:val="21"/>
                <w:szCs w:val="21"/>
              </w:rPr>
            </w:pPr>
          </w:p>
        </w:tc>
        <w:tc>
          <w:tcPr>
            <w:tcW w:w="6840" w:type="dxa"/>
          </w:tcPr>
          <w:p w14:paraId="63561611" w14:textId="77777777" w:rsidR="00E04C7F" w:rsidRPr="00206D77" w:rsidRDefault="00E04C7F" w:rsidP="00042AF7">
            <w:pPr>
              <w:rPr>
                <w:rFonts w:cstheme="minorHAnsi"/>
                <w:sz w:val="21"/>
                <w:szCs w:val="21"/>
              </w:rPr>
            </w:pPr>
          </w:p>
        </w:tc>
      </w:tr>
      <w:tr w:rsidR="00E04C7F" w:rsidRPr="00B0429C" w14:paraId="2ADE96A3" w14:textId="77777777" w:rsidTr="00E04C7F">
        <w:trPr>
          <w:trHeight w:val="720"/>
        </w:trPr>
        <w:tc>
          <w:tcPr>
            <w:tcW w:w="4675" w:type="dxa"/>
          </w:tcPr>
          <w:p w14:paraId="3153AB78" w14:textId="77777777" w:rsidR="00E04C7F" w:rsidRPr="0017254D" w:rsidRDefault="00E04C7F" w:rsidP="00042AF7">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4"/>
            </w:r>
          </w:p>
        </w:tc>
        <w:tc>
          <w:tcPr>
            <w:tcW w:w="2160" w:type="dxa"/>
            <w:shd w:val="clear" w:color="auto" w:fill="auto"/>
          </w:tcPr>
          <w:p w14:paraId="71E5E78B" w14:textId="77777777" w:rsidR="00E04C7F" w:rsidRPr="00206D77" w:rsidRDefault="00E04C7F" w:rsidP="00042AF7">
            <w:pPr>
              <w:jc w:val="center"/>
              <w:rPr>
                <w:sz w:val="21"/>
                <w:szCs w:val="21"/>
                <w:highlight w:val="green"/>
              </w:rPr>
            </w:pPr>
            <w:r w:rsidRPr="60E22AC3">
              <w:rPr>
                <w:sz w:val="21"/>
                <w:szCs w:val="21"/>
              </w:rPr>
              <w:t>$</w:t>
            </w:r>
          </w:p>
          <w:p w14:paraId="1BF0AE3E" w14:textId="77777777" w:rsidR="00E04C7F" w:rsidRPr="00206D77" w:rsidRDefault="00E04C7F" w:rsidP="00042AF7">
            <w:pPr>
              <w:jc w:val="center"/>
              <w:rPr>
                <w:sz w:val="21"/>
                <w:szCs w:val="21"/>
              </w:rPr>
            </w:pPr>
          </w:p>
        </w:tc>
        <w:tc>
          <w:tcPr>
            <w:tcW w:w="6840" w:type="dxa"/>
          </w:tcPr>
          <w:p w14:paraId="7B5945FB" w14:textId="77777777" w:rsidR="00E04C7F" w:rsidRPr="00206D77" w:rsidRDefault="00E04C7F" w:rsidP="00042AF7">
            <w:pPr>
              <w:rPr>
                <w:rFonts w:cstheme="minorHAnsi"/>
                <w:sz w:val="21"/>
                <w:szCs w:val="21"/>
              </w:rPr>
            </w:pPr>
          </w:p>
        </w:tc>
      </w:tr>
      <w:tr w:rsidR="00E04C7F" w:rsidRPr="00B0429C" w14:paraId="4F9872F5" w14:textId="77777777" w:rsidTr="00E04C7F">
        <w:trPr>
          <w:trHeight w:val="720"/>
        </w:trPr>
        <w:tc>
          <w:tcPr>
            <w:tcW w:w="4675" w:type="dxa"/>
          </w:tcPr>
          <w:p w14:paraId="3845A6C9" w14:textId="77777777" w:rsidR="00E04C7F" w:rsidRDefault="00E04C7F" w:rsidP="00042AF7">
            <w:pPr>
              <w:rPr>
                <w:rFonts w:cstheme="minorHAnsi"/>
                <w:b/>
                <w:bCs/>
                <w:sz w:val="21"/>
                <w:szCs w:val="21"/>
              </w:rPr>
            </w:pPr>
            <w:r w:rsidRPr="0017254D">
              <w:rPr>
                <w:rFonts w:cstheme="minorHAnsi"/>
                <w:sz w:val="21"/>
                <w:szCs w:val="21"/>
              </w:rPr>
              <w:t xml:space="preserve">Other Uses of </w:t>
            </w:r>
            <w:r>
              <w:rPr>
                <w:rFonts w:cstheme="minorHAnsi"/>
                <w:sz w:val="21"/>
                <w:szCs w:val="21"/>
              </w:rPr>
              <w:t>(a)(2) or (a)(3) funds, if applicable.</w:t>
            </w:r>
            <w:r w:rsidRPr="0017254D">
              <w:rPr>
                <w:rStyle w:val="FootnoteReference"/>
                <w:rFonts w:cstheme="minorHAnsi"/>
                <w:sz w:val="21"/>
                <w:szCs w:val="21"/>
              </w:rPr>
              <w:footnoteReference w:id="5"/>
            </w:r>
          </w:p>
        </w:tc>
        <w:tc>
          <w:tcPr>
            <w:tcW w:w="2160" w:type="dxa"/>
            <w:shd w:val="clear" w:color="auto" w:fill="7F7F7F" w:themeFill="text1" w:themeFillTint="80"/>
          </w:tcPr>
          <w:p w14:paraId="631C3001" w14:textId="77777777" w:rsidR="00E04C7F" w:rsidRPr="00206D77" w:rsidRDefault="00E04C7F" w:rsidP="00042AF7">
            <w:pPr>
              <w:jc w:val="center"/>
              <w:rPr>
                <w:sz w:val="21"/>
                <w:szCs w:val="21"/>
                <w:highlight w:val="green"/>
              </w:rPr>
            </w:pPr>
          </w:p>
        </w:tc>
        <w:tc>
          <w:tcPr>
            <w:tcW w:w="6840" w:type="dxa"/>
          </w:tcPr>
          <w:p w14:paraId="4B6A7F0A" w14:textId="77777777" w:rsidR="00E04C7F" w:rsidRPr="00206D77" w:rsidRDefault="00E04C7F" w:rsidP="00042AF7">
            <w:pPr>
              <w:rPr>
                <w:rFonts w:cstheme="minorHAnsi"/>
                <w:sz w:val="21"/>
                <w:szCs w:val="21"/>
              </w:rPr>
            </w:pPr>
          </w:p>
        </w:tc>
      </w:tr>
      <w:tr w:rsidR="00E04C7F" w:rsidRPr="00B0429C" w14:paraId="4FBBC4B2" w14:textId="77777777" w:rsidTr="00E04C7F">
        <w:trPr>
          <w:trHeight w:val="350"/>
        </w:trPr>
        <w:tc>
          <w:tcPr>
            <w:tcW w:w="4675" w:type="dxa"/>
          </w:tcPr>
          <w:p w14:paraId="267EF00E" w14:textId="77777777" w:rsidR="00E04C7F" w:rsidRPr="0017254D" w:rsidRDefault="00E04C7F" w:rsidP="00042AF7">
            <w:pPr>
              <w:rPr>
                <w:rFonts w:cstheme="minorHAnsi"/>
                <w:b/>
                <w:bCs/>
                <w:sz w:val="21"/>
                <w:szCs w:val="21"/>
              </w:rPr>
            </w:pPr>
            <w:r>
              <w:rPr>
                <w:rFonts w:cstheme="minorHAnsi"/>
                <w:b/>
                <w:bCs/>
                <w:sz w:val="21"/>
                <w:szCs w:val="21"/>
              </w:rPr>
              <w:t>Quarterly Expenditures for each Program</w:t>
            </w:r>
          </w:p>
        </w:tc>
        <w:tc>
          <w:tcPr>
            <w:tcW w:w="2160" w:type="dxa"/>
            <w:shd w:val="clear" w:color="auto" w:fill="auto"/>
          </w:tcPr>
          <w:p w14:paraId="6ECC14C3" w14:textId="3D2215F8" w:rsidR="00E04C7F" w:rsidRPr="009D3F5A" w:rsidRDefault="009D3F5A" w:rsidP="00042AF7">
            <w:pPr>
              <w:jc w:val="center"/>
              <w:rPr>
                <w:b/>
                <w:bCs/>
                <w:sz w:val="21"/>
                <w:szCs w:val="21"/>
              </w:rPr>
            </w:pPr>
            <w:r w:rsidRPr="009D3F5A">
              <w:rPr>
                <w:rFonts w:cstheme="minorHAnsi"/>
                <w:b/>
                <w:bCs/>
                <w:color w:val="FF0000"/>
                <w:sz w:val="21"/>
                <w:szCs w:val="21"/>
              </w:rPr>
              <w:t>$2,632,345</w:t>
            </w:r>
          </w:p>
        </w:tc>
        <w:tc>
          <w:tcPr>
            <w:tcW w:w="6840" w:type="dxa"/>
            <w:shd w:val="clear" w:color="auto" w:fill="7F7F7F" w:themeFill="text1" w:themeFillTint="80"/>
          </w:tcPr>
          <w:p w14:paraId="26456837" w14:textId="77777777" w:rsidR="00E04C7F" w:rsidRPr="00206D77" w:rsidRDefault="00E04C7F" w:rsidP="00042AF7">
            <w:pPr>
              <w:rPr>
                <w:rFonts w:cstheme="minorHAnsi"/>
                <w:sz w:val="21"/>
                <w:szCs w:val="21"/>
              </w:rPr>
            </w:pPr>
          </w:p>
        </w:tc>
      </w:tr>
      <w:tr w:rsidR="00E04C7F" w:rsidRPr="00B0429C" w14:paraId="4CB19656" w14:textId="77777777" w:rsidTr="00E04C7F">
        <w:trPr>
          <w:gridAfter w:val="2"/>
          <w:wAfter w:w="9000" w:type="dxa"/>
          <w:trHeight w:val="350"/>
        </w:trPr>
        <w:tc>
          <w:tcPr>
            <w:tcW w:w="4675" w:type="dxa"/>
          </w:tcPr>
          <w:p w14:paraId="7175BBC6" w14:textId="77777777" w:rsidR="00E04C7F" w:rsidRPr="0017254D" w:rsidDel="00217655" w:rsidRDefault="00E04C7F" w:rsidP="00042AF7">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r>
    </w:tbl>
    <w:p w14:paraId="53E14160" w14:textId="77777777" w:rsidR="00CD6871" w:rsidRDefault="00CD6871"/>
    <w:sectPr w:rsidR="00CD6871" w:rsidSect="00E04C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8358" w14:textId="77777777" w:rsidR="001163B0" w:rsidRDefault="001163B0" w:rsidP="00E04C7F">
      <w:pPr>
        <w:spacing w:after="0" w:line="240" w:lineRule="auto"/>
      </w:pPr>
      <w:r>
        <w:separator/>
      </w:r>
    </w:p>
  </w:endnote>
  <w:endnote w:type="continuationSeparator" w:id="0">
    <w:p w14:paraId="5DCA0DB0" w14:textId="77777777" w:rsidR="001163B0" w:rsidRDefault="001163B0" w:rsidP="00E0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D04C" w14:textId="77777777" w:rsidR="001163B0" w:rsidRDefault="001163B0" w:rsidP="00E04C7F">
      <w:pPr>
        <w:spacing w:after="0" w:line="240" w:lineRule="auto"/>
      </w:pPr>
      <w:r>
        <w:separator/>
      </w:r>
    </w:p>
  </w:footnote>
  <w:footnote w:type="continuationSeparator" w:id="0">
    <w:p w14:paraId="6D80102A" w14:textId="77777777" w:rsidR="001163B0" w:rsidRDefault="001163B0" w:rsidP="00E04C7F">
      <w:pPr>
        <w:spacing w:after="0" w:line="240" w:lineRule="auto"/>
      </w:pPr>
      <w:r>
        <w:continuationSeparator/>
      </w:r>
    </w:p>
  </w:footnote>
  <w:footnote w:id="1">
    <w:p w14:paraId="036AA9F8" w14:textId="77777777" w:rsidR="00E04C7F" w:rsidRDefault="00E04C7F" w:rsidP="00E04C7F">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1"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t>.</w:t>
      </w:r>
    </w:p>
  </w:footnote>
  <w:footnote w:id="2">
    <w:p w14:paraId="2E074B0A" w14:textId="77777777" w:rsidR="00E04C7F" w:rsidRDefault="00E04C7F" w:rsidP="00E04C7F">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3">
    <w:p w14:paraId="68D67E18" w14:textId="77777777" w:rsidR="00E04C7F" w:rsidRPr="007D277A" w:rsidRDefault="00E04C7F" w:rsidP="00E04C7F">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4">
    <w:p w14:paraId="07B05928" w14:textId="77777777" w:rsidR="00E04C7F" w:rsidRPr="00D32ED3" w:rsidRDefault="00E04C7F" w:rsidP="00E04C7F">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5">
    <w:p w14:paraId="1358FF5E" w14:textId="77777777" w:rsidR="00E04C7F" w:rsidRDefault="00E04C7F" w:rsidP="00E04C7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605E7"/>
    <w:multiLevelType w:val="hybridMultilevel"/>
    <w:tmpl w:val="2B7A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7F"/>
    <w:rsid w:val="0001162A"/>
    <w:rsid w:val="00024ADF"/>
    <w:rsid w:val="00042DA6"/>
    <w:rsid w:val="00051026"/>
    <w:rsid w:val="00065557"/>
    <w:rsid w:val="00090061"/>
    <w:rsid w:val="00103A34"/>
    <w:rsid w:val="001163B0"/>
    <w:rsid w:val="00127FF3"/>
    <w:rsid w:val="00195390"/>
    <w:rsid w:val="001E1C43"/>
    <w:rsid w:val="0020654C"/>
    <w:rsid w:val="002B5EFD"/>
    <w:rsid w:val="00342F12"/>
    <w:rsid w:val="003D3ACC"/>
    <w:rsid w:val="003E5F18"/>
    <w:rsid w:val="003F5E56"/>
    <w:rsid w:val="00431CF0"/>
    <w:rsid w:val="00484253"/>
    <w:rsid w:val="004E098C"/>
    <w:rsid w:val="00523DAC"/>
    <w:rsid w:val="00567AB9"/>
    <w:rsid w:val="005A409D"/>
    <w:rsid w:val="005D35F3"/>
    <w:rsid w:val="00600952"/>
    <w:rsid w:val="00602BFA"/>
    <w:rsid w:val="006321C3"/>
    <w:rsid w:val="0068595E"/>
    <w:rsid w:val="006C6F9D"/>
    <w:rsid w:val="006F433B"/>
    <w:rsid w:val="00706878"/>
    <w:rsid w:val="00735FD8"/>
    <w:rsid w:val="00785376"/>
    <w:rsid w:val="007A7CB8"/>
    <w:rsid w:val="007C2832"/>
    <w:rsid w:val="007D2A51"/>
    <w:rsid w:val="008837F8"/>
    <w:rsid w:val="00890E42"/>
    <w:rsid w:val="00895B29"/>
    <w:rsid w:val="008C45FD"/>
    <w:rsid w:val="008E21B8"/>
    <w:rsid w:val="00911D25"/>
    <w:rsid w:val="00931E19"/>
    <w:rsid w:val="009D3F5A"/>
    <w:rsid w:val="009E3FBC"/>
    <w:rsid w:val="00AA4607"/>
    <w:rsid w:val="00B337F8"/>
    <w:rsid w:val="00B440A9"/>
    <w:rsid w:val="00B601D9"/>
    <w:rsid w:val="00B81EDC"/>
    <w:rsid w:val="00C93176"/>
    <w:rsid w:val="00CC383F"/>
    <w:rsid w:val="00CD6871"/>
    <w:rsid w:val="00D01CD7"/>
    <w:rsid w:val="00D10B76"/>
    <w:rsid w:val="00DB51FC"/>
    <w:rsid w:val="00DC05CE"/>
    <w:rsid w:val="00DC7AB2"/>
    <w:rsid w:val="00DE1882"/>
    <w:rsid w:val="00E04C7F"/>
    <w:rsid w:val="00E612D5"/>
    <w:rsid w:val="00EC74D4"/>
    <w:rsid w:val="00ED07CB"/>
    <w:rsid w:val="00F21CBC"/>
    <w:rsid w:val="00F609B3"/>
    <w:rsid w:val="00FA40EF"/>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F9F5"/>
  <w15:chartTrackingRefBased/>
  <w15:docId w15:val="{1855114E-B3BF-42AF-8935-403186DA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C7F"/>
    <w:rPr>
      <w:color w:val="0000FF"/>
      <w:u w:val="single"/>
    </w:rPr>
  </w:style>
  <w:style w:type="paragraph" w:styleId="FootnoteText">
    <w:name w:val="footnote text"/>
    <w:basedOn w:val="Normal"/>
    <w:link w:val="FootnoteTextChar"/>
    <w:uiPriority w:val="99"/>
    <w:semiHidden/>
    <w:unhideWhenUsed/>
    <w:rsid w:val="00E04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C7F"/>
    <w:rPr>
      <w:sz w:val="20"/>
      <w:szCs w:val="20"/>
    </w:rPr>
  </w:style>
  <w:style w:type="character" w:styleId="FootnoteReference">
    <w:name w:val="footnote reference"/>
    <w:basedOn w:val="DefaultParagraphFont"/>
    <w:uiPriority w:val="99"/>
    <w:semiHidden/>
    <w:unhideWhenUsed/>
    <w:rsid w:val="00E04C7F"/>
    <w:rPr>
      <w:vertAlign w:val="superscript"/>
    </w:rPr>
  </w:style>
  <w:style w:type="paragraph" w:styleId="BodyText">
    <w:name w:val="Body Text"/>
    <w:basedOn w:val="Normal"/>
    <w:link w:val="BodyTextChar"/>
    <w:uiPriority w:val="99"/>
    <w:unhideWhenUsed/>
    <w:rsid w:val="00E04C7F"/>
    <w:pPr>
      <w:jc w:val="center"/>
    </w:pPr>
    <w:rPr>
      <w:rFonts w:cstheme="minorHAnsi"/>
      <w:b/>
      <w:bCs/>
      <w:sz w:val="24"/>
      <w:szCs w:val="24"/>
    </w:rPr>
  </w:style>
  <w:style w:type="character" w:customStyle="1" w:styleId="BodyTextChar">
    <w:name w:val="Body Text Char"/>
    <w:basedOn w:val="DefaultParagraphFont"/>
    <w:link w:val="BodyText"/>
    <w:uiPriority w:val="99"/>
    <w:rsid w:val="00E04C7F"/>
    <w:rPr>
      <w:rFonts w:cstheme="minorHAnsi"/>
      <w:b/>
      <w:bCs/>
      <w:sz w:val="24"/>
      <w:szCs w:val="24"/>
    </w:rPr>
  </w:style>
  <w:style w:type="paragraph" w:styleId="PlainText">
    <w:name w:val="Plain Text"/>
    <w:basedOn w:val="Normal"/>
    <w:link w:val="PlainTextChar"/>
    <w:uiPriority w:val="99"/>
    <w:semiHidden/>
    <w:unhideWhenUsed/>
    <w:rsid w:val="00E04C7F"/>
    <w:pPr>
      <w:spacing w:after="0" w:line="240" w:lineRule="auto"/>
    </w:pPr>
    <w:rPr>
      <w:rFonts w:ascii="Calibri" w:hAnsi="Calibri" w:cs="Calibri"/>
      <w:color w:val="3B3838"/>
    </w:rPr>
  </w:style>
  <w:style w:type="character" w:customStyle="1" w:styleId="PlainTextChar">
    <w:name w:val="Plain Text Char"/>
    <w:basedOn w:val="DefaultParagraphFont"/>
    <w:link w:val="PlainText"/>
    <w:uiPriority w:val="99"/>
    <w:semiHidden/>
    <w:rsid w:val="00E04C7F"/>
    <w:rPr>
      <w:rFonts w:ascii="Calibri" w:hAnsi="Calibri" w:cs="Calibri"/>
      <w:color w:val="3B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Barclay</dc:creator>
  <cp:keywords/>
  <dc:description/>
  <cp:lastModifiedBy>Ellen</cp:lastModifiedBy>
  <cp:revision>2</cp:revision>
  <dcterms:created xsi:type="dcterms:W3CDTF">2022-01-25T22:58:00Z</dcterms:created>
  <dcterms:modified xsi:type="dcterms:W3CDTF">2022-01-25T22:58:00Z</dcterms:modified>
</cp:coreProperties>
</file>